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415F0">
      <w:pPr>
        <w:jc w:val="center"/>
        <w:rPr>
          <w:rFonts w:hint="eastAsia" w:ascii="方正小标宋简体" w:hAnsi="方正小标宋简体" w:eastAsia="方正小标宋简体" w:cs="方正小标宋简体"/>
          <w:b w:val="0"/>
          <w:bCs w:val="0"/>
          <w:color w:val="000000"/>
          <w:sz w:val="36"/>
          <w:szCs w:val="36"/>
          <w:lang w:val="en-US" w:eastAsia="zh-CN"/>
        </w:rPr>
      </w:pPr>
      <w:r>
        <w:rPr>
          <w:rFonts w:hint="eastAsia" w:ascii="方正小标宋简体" w:hAnsi="方正小标宋简体" w:eastAsia="方正小标宋简体" w:cs="方正小标宋简体"/>
          <w:b w:val="0"/>
          <w:bCs w:val="0"/>
          <w:color w:val="000000"/>
          <w:sz w:val="36"/>
          <w:szCs w:val="36"/>
          <w:lang w:val="en-US" w:eastAsia="zh-CN"/>
        </w:rPr>
        <w:t>2025年研究生复试考生资格审查所需材料</w:t>
      </w:r>
    </w:p>
    <w:p w14:paraId="565A1AF3">
      <w:pPr>
        <w:jc w:val="center"/>
        <w:rPr>
          <w:rFonts w:hint="eastAsia" w:ascii="Times New Roman" w:hAnsi="Times New Roman" w:eastAsia="仿宋" w:cs="Times New Roman"/>
          <w:b/>
          <w:bCs/>
          <w:color w:val="000000"/>
          <w:sz w:val="36"/>
          <w:szCs w:val="36"/>
          <w:lang w:val="en-US" w:eastAsia="zh-CN"/>
        </w:rPr>
      </w:pPr>
    </w:p>
    <w:tbl>
      <w:tblPr>
        <w:tblStyle w:val="3"/>
        <w:tblW w:w="0" w:type="auto"/>
        <w:tblInd w:w="-5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0"/>
        <w:gridCol w:w="1070"/>
      </w:tblGrid>
      <w:tr w14:paraId="0D2E4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7920" w:type="dxa"/>
            <w:vAlign w:val="center"/>
          </w:tcPr>
          <w:p w14:paraId="1C3FA0A1">
            <w:pPr>
              <w:spacing w:line="320" w:lineRule="exact"/>
              <w:jc w:val="center"/>
              <w:rPr>
                <w:rFonts w:hint="eastAsia" w:ascii="Times New Roman" w:hAnsi="Times New Roman" w:eastAsia="仿宋" w:cs="Times New Roman"/>
                <w:color w:val="000000"/>
                <w:sz w:val="24"/>
                <w:szCs w:val="24"/>
                <w:vertAlign w:val="baseline"/>
                <w:lang w:val="en-US" w:eastAsia="zh-CN"/>
              </w:rPr>
            </w:pPr>
            <w:r>
              <w:rPr>
                <w:rFonts w:hint="eastAsia" w:ascii="仿宋" w:hAnsi="仿宋" w:eastAsia="仿宋"/>
                <w:b/>
                <w:color w:val="000000"/>
                <w:sz w:val="32"/>
                <w:szCs w:val="32"/>
              </w:rPr>
              <w:t>资格审查材料</w:t>
            </w:r>
          </w:p>
        </w:tc>
        <w:tc>
          <w:tcPr>
            <w:tcW w:w="1070" w:type="dxa"/>
            <w:vAlign w:val="center"/>
          </w:tcPr>
          <w:p w14:paraId="2D850790">
            <w:pPr>
              <w:jc w:val="center"/>
              <w:rPr>
                <w:rFonts w:hint="default" w:ascii="Times New Roman" w:hAnsi="Times New Roman" w:eastAsia="仿宋" w:cs="Times New Roman"/>
                <w:color w:val="000000"/>
                <w:sz w:val="28"/>
                <w:szCs w:val="28"/>
                <w:vertAlign w:val="baseline"/>
                <w:lang w:val="en-US" w:eastAsia="zh-CN"/>
              </w:rPr>
            </w:pPr>
            <w:r>
              <w:rPr>
                <w:rFonts w:hint="eastAsia" w:ascii="Times New Roman" w:hAnsi="Times New Roman" w:eastAsia="仿宋" w:cs="Times New Roman"/>
                <w:b/>
                <w:bCs/>
                <w:color w:val="000000"/>
                <w:sz w:val="28"/>
                <w:szCs w:val="28"/>
                <w:vertAlign w:val="baseline"/>
                <w:lang w:val="en-US" w:eastAsia="zh-CN"/>
              </w:rPr>
              <w:t>备注</w:t>
            </w:r>
          </w:p>
        </w:tc>
      </w:tr>
      <w:tr w14:paraId="50CED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7920" w:type="dxa"/>
            <w:vAlign w:val="center"/>
          </w:tcPr>
          <w:p w14:paraId="30D10B0E">
            <w:pPr>
              <w:spacing w:line="320" w:lineRule="exact"/>
              <w:rPr>
                <w:rFonts w:hint="eastAsia" w:ascii="Times New Roman" w:hAnsi="Times New Roman" w:eastAsia="仿宋" w:cs="Times New Roman"/>
                <w:color w:val="000000"/>
                <w:sz w:val="24"/>
                <w:szCs w:val="24"/>
                <w:vertAlign w:val="baseline"/>
                <w:lang w:val="en-US" w:eastAsia="zh-CN"/>
              </w:rPr>
            </w:pPr>
            <w:r>
              <w:rPr>
                <w:rFonts w:hint="eastAsia" w:ascii="仿宋" w:hAnsi="仿宋" w:eastAsia="仿宋"/>
                <w:color w:val="000000"/>
                <w:sz w:val="24"/>
                <w:szCs w:val="24"/>
              </w:rPr>
              <w:t>1.“准</w:t>
            </w:r>
            <w:r>
              <w:rPr>
                <w:rFonts w:ascii="仿宋" w:hAnsi="仿宋" w:eastAsia="仿宋"/>
                <w:color w:val="000000"/>
                <w:sz w:val="24"/>
                <w:szCs w:val="24"/>
              </w:rPr>
              <w:t>考证</w:t>
            </w:r>
            <w:r>
              <w:rPr>
                <w:rFonts w:hint="eastAsia" w:ascii="仿宋" w:hAnsi="仿宋" w:eastAsia="仿宋"/>
                <w:color w:val="000000"/>
                <w:sz w:val="24"/>
                <w:szCs w:val="24"/>
              </w:rPr>
              <w:t>”</w:t>
            </w:r>
            <w:r>
              <w:rPr>
                <w:rFonts w:ascii="仿宋" w:hAnsi="仿宋" w:eastAsia="仿宋"/>
                <w:color w:val="000000"/>
                <w:sz w:val="24"/>
                <w:szCs w:val="24"/>
              </w:rPr>
              <w:t>、</w:t>
            </w:r>
            <w:r>
              <w:rPr>
                <w:rFonts w:hint="eastAsia" w:ascii="仿宋" w:hAnsi="仿宋" w:eastAsia="仿宋"/>
                <w:color w:val="000000"/>
                <w:sz w:val="24"/>
                <w:szCs w:val="24"/>
              </w:rPr>
              <w:t>有效“身份证”或“军官证”原件及一份复印件（学院留存</w:t>
            </w:r>
            <w:r>
              <w:rPr>
                <w:rFonts w:ascii="仿宋" w:hAnsi="仿宋" w:eastAsia="仿宋"/>
                <w:color w:val="000000"/>
                <w:sz w:val="24"/>
                <w:szCs w:val="24"/>
              </w:rPr>
              <w:t>）</w:t>
            </w:r>
          </w:p>
        </w:tc>
        <w:tc>
          <w:tcPr>
            <w:tcW w:w="1070" w:type="dxa"/>
          </w:tcPr>
          <w:p w14:paraId="6AA5E570">
            <w:pPr>
              <w:rPr>
                <w:rFonts w:hint="eastAsia" w:ascii="Times New Roman" w:hAnsi="Times New Roman" w:eastAsia="仿宋" w:cs="Times New Roman"/>
                <w:color w:val="000000"/>
                <w:sz w:val="28"/>
                <w:szCs w:val="28"/>
                <w:vertAlign w:val="baseline"/>
                <w:lang w:val="en-US" w:eastAsia="zh-CN"/>
              </w:rPr>
            </w:pPr>
          </w:p>
        </w:tc>
      </w:tr>
      <w:tr w14:paraId="351D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7920" w:type="dxa"/>
            <w:vAlign w:val="center"/>
          </w:tcPr>
          <w:p w14:paraId="4B29C367">
            <w:pPr>
              <w:spacing w:line="320" w:lineRule="exact"/>
              <w:rPr>
                <w:rFonts w:hint="eastAsia" w:ascii="Times New Roman" w:hAnsi="Times New Roman" w:eastAsia="仿宋" w:cs="Times New Roman"/>
                <w:color w:val="000000"/>
                <w:sz w:val="24"/>
                <w:szCs w:val="24"/>
                <w:vertAlign w:val="baseline"/>
                <w:lang w:val="en-US" w:eastAsia="zh-CN"/>
              </w:rPr>
            </w:pPr>
            <w:r>
              <w:rPr>
                <w:rFonts w:hint="eastAsia" w:ascii="仿宋_GB2312" w:hAnsi="仿宋_GB2312" w:eastAsia="仿宋_GB2312" w:cs="仿宋_GB2312"/>
                <w:color w:val="000000"/>
                <w:kern w:val="0"/>
                <w:sz w:val="24"/>
                <w:szCs w:val="24"/>
                <w:shd w:val="clear" w:color="auto" w:fill="FFFFFF"/>
                <w:lang w:bidi="ar"/>
              </w:rPr>
              <w:t>2</w:t>
            </w:r>
            <w:r>
              <w:rPr>
                <w:rFonts w:hint="eastAsia" w:ascii="仿宋_GB2312" w:hAnsi="仿宋_GB2312" w:eastAsia="仿宋_GB2312" w:cs="仿宋_GB2312"/>
                <w:color w:val="000000"/>
                <w:kern w:val="0"/>
                <w:sz w:val="24"/>
                <w:szCs w:val="24"/>
                <w:shd w:val="clear" w:color="auto" w:fill="FFFFFF"/>
                <w:lang w:eastAsia="zh-CN" w:bidi="ar"/>
              </w:rPr>
              <w:t>.</w:t>
            </w:r>
            <w:r>
              <w:rPr>
                <w:rFonts w:hint="eastAsia" w:ascii="仿宋_GB2312" w:hAnsi="仿宋_GB2312" w:eastAsia="仿宋_GB2312" w:cs="仿宋_GB2312"/>
                <w:b/>
                <w:bCs/>
                <w:color w:val="000000"/>
                <w:kern w:val="0"/>
                <w:sz w:val="24"/>
                <w:szCs w:val="24"/>
                <w:shd w:val="clear" w:color="auto" w:fill="FFFFFF"/>
                <w:lang w:bidi="ar"/>
              </w:rPr>
              <w:t>应届生</w:t>
            </w:r>
            <w:r>
              <w:rPr>
                <w:rFonts w:hint="eastAsia" w:ascii="仿宋_GB2312" w:hAnsi="仿宋_GB2312" w:eastAsia="仿宋_GB2312" w:cs="仿宋_GB2312"/>
                <w:color w:val="000000"/>
                <w:kern w:val="0"/>
                <w:sz w:val="24"/>
                <w:szCs w:val="24"/>
                <w:shd w:val="clear" w:color="auto" w:fill="FFFFFF"/>
                <w:lang w:bidi="ar"/>
              </w:rPr>
              <w:t>须提供学生证或学籍认证在线报告</w:t>
            </w:r>
            <w:r>
              <w:rPr>
                <w:rFonts w:hint="eastAsia" w:ascii="仿宋" w:hAnsi="仿宋" w:eastAsia="仿宋"/>
                <w:color w:val="000000"/>
                <w:sz w:val="24"/>
                <w:szCs w:val="24"/>
                <w:lang w:eastAsia="zh-CN"/>
              </w:rPr>
              <w:t>；</w:t>
            </w:r>
            <w:r>
              <w:rPr>
                <w:rFonts w:hint="eastAsia" w:ascii="Times New Roman" w:hAnsi="Times New Roman" w:eastAsia="仿宋" w:cs="Times New Roman"/>
                <w:color w:val="000000"/>
                <w:sz w:val="24"/>
                <w:szCs w:val="24"/>
                <w:vertAlign w:val="baseline"/>
                <w:lang w:val="en-US" w:eastAsia="zh-CN"/>
              </w:rPr>
              <w:t>全日制往届生须提供学位证和毕业证原件及一份复印件；非全日制往届生须提供毕业证书或电子注册备案表。（学院留存</w:t>
            </w:r>
            <w:r>
              <w:rPr>
                <w:rFonts w:ascii="仿宋" w:hAnsi="仿宋" w:eastAsia="仿宋"/>
                <w:color w:val="000000"/>
                <w:sz w:val="24"/>
                <w:szCs w:val="24"/>
              </w:rPr>
              <w:t>）</w:t>
            </w:r>
          </w:p>
        </w:tc>
        <w:tc>
          <w:tcPr>
            <w:tcW w:w="1070" w:type="dxa"/>
          </w:tcPr>
          <w:p w14:paraId="490EF3F2">
            <w:pPr>
              <w:rPr>
                <w:rFonts w:hint="eastAsia" w:ascii="Times New Roman" w:hAnsi="Times New Roman" w:eastAsia="仿宋" w:cs="Times New Roman"/>
                <w:color w:val="000000"/>
                <w:sz w:val="28"/>
                <w:szCs w:val="28"/>
                <w:vertAlign w:val="baseline"/>
                <w:lang w:val="en-US" w:eastAsia="zh-CN"/>
              </w:rPr>
            </w:pPr>
          </w:p>
        </w:tc>
      </w:tr>
      <w:tr w14:paraId="1F12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7920" w:type="dxa"/>
            <w:vAlign w:val="center"/>
          </w:tcPr>
          <w:p w14:paraId="3C8EC1A0">
            <w:pPr>
              <w:numPr>
                <w:ilvl w:val="0"/>
                <w:numId w:val="1"/>
              </w:numPr>
              <w:spacing w:line="320" w:lineRule="exact"/>
              <w:rPr>
                <w:rFonts w:hint="eastAsia" w:ascii="仿宋" w:hAnsi="仿宋" w:eastAsia="仿宋"/>
                <w:color w:val="000000"/>
                <w:sz w:val="24"/>
                <w:szCs w:val="24"/>
              </w:rPr>
            </w:pPr>
            <w:r>
              <w:rPr>
                <w:rFonts w:hint="eastAsia" w:ascii="仿宋" w:hAnsi="仿宋" w:eastAsia="仿宋"/>
                <w:color w:val="000000"/>
                <w:sz w:val="24"/>
                <w:szCs w:val="24"/>
              </w:rPr>
              <w:t>“全国英语四六级证书或加盖公章的成绩单”原件及复印件1份;</w:t>
            </w:r>
          </w:p>
          <w:p w14:paraId="265ACFBD">
            <w:pPr>
              <w:numPr>
                <w:ilvl w:val="0"/>
                <w:numId w:val="0"/>
              </w:numPr>
              <w:spacing w:line="320" w:lineRule="exact"/>
              <w:rPr>
                <w:rFonts w:hint="eastAsia" w:ascii="Times New Roman" w:hAnsi="Times New Roman" w:eastAsia="仿宋" w:cs="Times New Roman"/>
                <w:color w:val="000000"/>
                <w:sz w:val="24"/>
                <w:szCs w:val="24"/>
                <w:vertAlign w:val="baseline"/>
                <w:lang w:val="en-US" w:eastAsia="zh-CN"/>
              </w:rPr>
            </w:pPr>
            <w:r>
              <w:rPr>
                <w:rFonts w:hint="eastAsia" w:ascii="仿宋" w:hAnsi="仿宋" w:eastAsia="仿宋"/>
                <w:b/>
                <w:color w:val="000000"/>
                <w:sz w:val="24"/>
                <w:szCs w:val="24"/>
              </w:rPr>
              <w:t>（</w:t>
            </w:r>
            <w:r>
              <w:rPr>
                <w:rFonts w:hint="eastAsia" w:ascii="仿宋" w:hAnsi="仿宋" w:eastAsia="仿宋"/>
                <w:b/>
                <w:color w:val="000000"/>
                <w:sz w:val="24"/>
                <w:szCs w:val="24"/>
                <w:lang w:val="en-US" w:eastAsia="zh-CN"/>
              </w:rPr>
              <w:t>成绩单上</w:t>
            </w:r>
            <w:r>
              <w:rPr>
                <w:rFonts w:hint="eastAsia" w:ascii="仿宋" w:hAnsi="仿宋" w:eastAsia="仿宋"/>
                <w:b/>
                <w:color w:val="000000"/>
                <w:sz w:val="24"/>
                <w:szCs w:val="24"/>
              </w:rPr>
              <w:t>仅标明四级或六级成绩）</w:t>
            </w:r>
            <w:r>
              <w:rPr>
                <w:rFonts w:hint="eastAsia" w:ascii="仿宋" w:hAnsi="仿宋" w:eastAsia="仿宋"/>
                <w:b/>
                <w:color w:val="000000"/>
                <w:sz w:val="24"/>
                <w:szCs w:val="24"/>
                <w:lang w:eastAsia="zh-CN"/>
              </w:rPr>
              <w:t>（</w:t>
            </w:r>
            <w:r>
              <w:rPr>
                <w:rFonts w:hint="eastAsia" w:ascii="仿宋" w:hAnsi="仿宋" w:eastAsia="仿宋"/>
                <w:b w:val="0"/>
                <w:bCs/>
                <w:color w:val="000000"/>
                <w:sz w:val="24"/>
                <w:szCs w:val="24"/>
                <w:lang w:eastAsia="zh-CN"/>
              </w:rPr>
              <w:t>学院留存</w:t>
            </w:r>
            <w:r>
              <w:rPr>
                <w:rFonts w:hint="eastAsia" w:ascii="仿宋" w:hAnsi="仿宋" w:eastAsia="仿宋"/>
                <w:b/>
                <w:color w:val="000000"/>
                <w:sz w:val="24"/>
                <w:szCs w:val="24"/>
                <w:lang w:eastAsia="zh-CN"/>
              </w:rPr>
              <w:t>）</w:t>
            </w:r>
          </w:p>
        </w:tc>
        <w:tc>
          <w:tcPr>
            <w:tcW w:w="1070" w:type="dxa"/>
          </w:tcPr>
          <w:p w14:paraId="39E4CC6C">
            <w:pPr>
              <w:rPr>
                <w:rFonts w:hint="eastAsia" w:ascii="Times New Roman" w:hAnsi="Times New Roman" w:eastAsia="仿宋" w:cs="Times New Roman"/>
                <w:color w:val="000000"/>
                <w:sz w:val="28"/>
                <w:szCs w:val="28"/>
                <w:vertAlign w:val="baseline"/>
                <w:lang w:val="en-US" w:eastAsia="zh-CN"/>
              </w:rPr>
            </w:pPr>
          </w:p>
        </w:tc>
      </w:tr>
      <w:tr w14:paraId="66559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7920" w:type="dxa"/>
            <w:vAlign w:val="center"/>
          </w:tcPr>
          <w:p w14:paraId="7766D0D2">
            <w:pPr>
              <w:spacing w:line="320" w:lineRule="exact"/>
              <w:rPr>
                <w:rFonts w:hint="eastAsia" w:ascii="Times New Roman" w:hAnsi="Times New Roman" w:eastAsia="仿宋" w:cs="Times New Roman"/>
                <w:color w:val="000000"/>
                <w:sz w:val="24"/>
                <w:szCs w:val="24"/>
                <w:vertAlign w:val="baseline"/>
                <w:lang w:val="en-US" w:eastAsia="zh-CN"/>
              </w:rPr>
            </w:pPr>
            <w:r>
              <w:rPr>
                <w:rFonts w:hint="eastAsia" w:ascii="仿宋" w:hAnsi="仿宋" w:eastAsia="仿宋"/>
                <w:color w:val="000000"/>
                <w:sz w:val="24"/>
                <w:szCs w:val="24"/>
              </w:rPr>
              <w:t>4.大学期间“成绩单”原件（加盖学校教务处公章）或档案中成绩单复印件（加盖档案单位公章）；（学院留存</w:t>
            </w:r>
            <w:r>
              <w:rPr>
                <w:rFonts w:ascii="仿宋" w:hAnsi="仿宋" w:eastAsia="仿宋"/>
                <w:color w:val="000000"/>
                <w:sz w:val="24"/>
                <w:szCs w:val="24"/>
              </w:rPr>
              <w:t>）</w:t>
            </w:r>
          </w:p>
        </w:tc>
        <w:tc>
          <w:tcPr>
            <w:tcW w:w="1070" w:type="dxa"/>
          </w:tcPr>
          <w:p w14:paraId="010D4B30">
            <w:pPr>
              <w:rPr>
                <w:rFonts w:hint="eastAsia" w:ascii="Times New Roman" w:hAnsi="Times New Roman" w:eastAsia="仿宋" w:cs="Times New Roman"/>
                <w:color w:val="000000"/>
                <w:sz w:val="28"/>
                <w:szCs w:val="28"/>
                <w:vertAlign w:val="baseline"/>
                <w:lang w:val="en-US" w:eastAsia="zh-CN"/>
              </w:rPr>
            </w:pPr>
          </w:p>
        </w:tc>
      </w:tr>
      <w:tr w14:paraId="5E521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7920" w:type="dxa"/>
            <w:vAlign w:val="center"/>
          </w:tcPr>
          <w:p w14:paraId="6D20E73F">
            <w:pPr>
              <w:spacing w:line="320" w:lineRule="exact"/>
              <w:rPr>
                <w:rFonts w:hint="eastAsia" w:ascii="Times New Roman" w:hAnsi="Times New Roman" w:eastAsia="仿宋" w:cs="Times New Roman"/>
                <w:color w:val="000000"/>
                <w:sz w:val="24"/>
                <w:szCs w:val="24"/>
                <w:vertAlign w:val="baseline"/>
                <w:lang w:val="en-US" w:eastAsia="zh-CN"/>
              </w:rPr>
            </w:pPr>
            <w:r>
              <w:rPr>
                <w:rFonts w:hint="eastAsia" w:ascii="仿宋" w:hAnsi="仿宋" w:eastAsia="仿宋"/>
                <w:color w:val="000000"/>
                <w:sz w:val="24"/>
                <w:szCs w:val="24"/>
              </w:rPr>
              <w:t>5.“思想政治考核表”</w:t>
            </w:r>
            <w:r>
              <w:rPr>
                <w:rFonts w:hint="eastAsia" w:ascii="仿宋" w:hAnsi="仿宋" w:eastAsia="仿宋"/>
                <w:b/>
                <w:bCs/>
                <w:color w:val="000000"/>
                <w:sz w:val="24"/>
                <w:szCs w:val="24"/>
                <w:lang w:eastAsia="zh-CN"/>
              </w:rPr>
              <w:t>必须</w:t>
            </w:r>
            <w:r>
              <w:rPr>
                <w:rFonts w:hint="eastAsia" w:ascii="仿宋" w:hAnsi="仿宋" w:eastAsia="仿宋"/>
                <w:color w:val="000000"/>
                <w:sz w:val="24"/>
                <w:szCs w:val="24"/>
                <w:lang w:eastAsia="zh-CN"/>
              </w:rPr>
              <w:t>加盖</w:t>
            </w:r>
            <w:r>
              <w:rPr>
                <w:rFonts w:hint="eastAsia" w:ascii="仿宋" w:hAnsi="仿宋" w:eastAsia="仿宋"/>
                <w:b/>
                <w:bCs/>
                <w:color w:val="000000"/>
                <w:sz w:val="24"/>
                <w:szCs w:val="24"/>
                <w:lang w:eastAsia="zh-CN"/>
              </w:rPr>
              <w:t>党章</w:t>
            </w:r>
            <w:r>
              <w:rPr>
                <w:rFonts w:hint="eastAsia" w:ascii="仿宋" w:hAnsi="仿宋" w:eastAsia="仿宋"/>
                <w:color w:val="000000"/>
                <w:sz w:val="24"/>
                <w:szCs w:val="24"/>
                <w:lang w:eastAsia="zh-CN"/>
              </w:rPr>
              <w:t>，红章原件，</w:t>
            </w:r>
            <w:r>
              <w:rPr>
                <w:rFonts w:hint="eastAsia" w:ascii="仿宋" w:hAnsi="仿宋" w:eastAsia="仿宋"/>
                <w:color w:val="000000"/>
                <w:sz w:val="24"/>
                <w:szCs w:val="24"/>
              </w:rPr>
              <w:t>；（交研究生院入档）</w:t>
            </w:r>
          </w:p>
        </w:tc>
        <w:tc>
          <w:tcPr>
            <w:tcW w:w="1070" w:type="dxa"/>
          </w:tcPr>
          <w:p w14:paraId="6DB1A894">
            <w:pPr>
              <w:rPr>
                <w:rFonts w:hint="eastAsia" w:ascii="Times New Roman" w:hAnsi="Times New Roman" w:eastAsia="仿宋" w:cs="Times New Roman"/>
                <w:color w:val="000000"/>
                <w:sz w:val="28"/>
                <w:szCs w:val="28"/>
                <w:vertAlign w:val="baseline"/>
                <w:lang w:val="en-US" w:eastAsia="zh-CN"/>
              </w:rPr>
            </w:pPr>
          </w:p>
        </w:tc>
      </w:tr>
      <w:tr w14:paraId="2438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7920" w:type="dxa"/>
            <w:vAlign w:val="center"/>
          </w:tcPr>
          <w:p w14:paraId="0A6EB8C1">
            <w:pPr>
              <w:spacing w:line="320" w:lineRule="exact"/>
              <w:rPr>
                <w:rFonts w:hint="eastAsia" w:ascii="Times New Roman" w:hAnsi="Times New Roman" w:eastAsia="仿宋" w:cs="Times New Roman"/>
                <w:color w:val="000000"/>
                <w:sz w:val="24"/>
                <w:szCs w:val="24"/>
                <w:vertAlign w:val="baseline"/>
                <w:lang w:val="en-US" w:eastAsia="zh-CN"/>
              </w:rPr>
            </w:pPr>
            <w:r>
              <w:rPr>
                <w:rFonts w:hint="eastAsia" w:ascii="仿宋" w:hAnsi="仿宋" w:eastAsia="仿宋"/>
                <w:color w:val="000000"/>
                <w:sz w:val="24"/>
                <w:szCs w:val="24"/>
              </w:rPr>
              <w:t>6.“个人简历”：包括业务和科研能力、毕业论文、外语水平等</w:t>
            </w:r>
            <w:r>
              <w:rPr>
                <w:rFonts w:hint="eastAsia" w:ascii="仿宋" w:hAnsi="仿宋" w:eastAsia="仿宋"/>
                <w:color w:val="000000"/>
                <w:sz w:val="24"/>
                <w:szCs w:val="24"/>
                <w:lang w:eastAsia="zh-CN"/>
              </w:rPr>
              <w:t>，</w:t>
            </w:r>
            <w:r>
              <w:rPr>
                <w:rFonts w:hint="eastAsia" w:ascii="仿宋" w:hAnsi="仿宋" w:eastAsia="仿宋"/>
                <w:b/>
                <w:bCs/>
                <w:color w:val="000000"/>
                <w:sz w:val="24"/>
                <w:szCs w:val="24"/>
                <w:lang w:val="en-US" w:eastAsia="zh-CN"/>
              </w:rPr>
              <w:t>一页内</w:t>
            </w:r>
            <w:r>
              <w:rPr>
                <w:rFonts w:hint="eastAsia" w:ascii="仿宋" w:hAnsi="仿宋" w:eastAsia="仿宋"/>
                <w:color w:val="000000"/>
                <w:sz w:val="24"/>
                <w:szCs w:val="24"/>
              </w:rPr>
              <w:t>；（</w:t>
            </w:r>
            <w:r>
              <w:rPr>
                <w:rFonts w:hint="eastAsia" w:ascii="仿宋" w:hAnsi="仿宋" w:eastAsia="仿宋"/>
                <w:color w:val="000000"/>
                <w:sz w:val="24"/>
                <w:szCs w:val="24"/>
                <w:lang w:eastAsia="zh-CN"/>
              </w:rPr>
              <w:t>一式六份，学院留存</w:t>
            </w:r>
            <w:r>
              <w:rPr>
                <w:rFonts w:ascii="仿宋" w:hAnsi="仿宋" w:eastAsia="仿宋"/>
                <w:color w:val="000000"/>
                <w:sz w:val="24"/>
                <w:szCs w:val="24"/>
              </w:rPr>
              <w:t>）</w:t>
            </w:r>
          </w:p>
        </w:tc>
        <w:tc>
          <w:tcPr>
            <w:tcW w:w="1070" w:type="dxa"/>
          </w:tcPr>
          <w:p w14:paraId="64242A7D">
            <w:pPr>
              <w:rPr>
                <w:rFonts w:hint="eastAsia" w:ascii="Times New Roman" w:hAnsi="Times New Roman" w:eastAsia="仿宋" w:cs="Times New Roman"/>
                <w:color w:val="000000"/>
                <w:sz w:val="28"/>
                <w:szCs w:val="28"/>
                <w:vertAlign w:val="baseline"/>
                <w:lang w:val="en-US" w:eastAsia="zh-CN"/>
              </w:rPr>
            </w:pPr>
          </w:p>
        </w:tc>
      </w:tr>
      <w:tr w14:paraId="1C754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7920" w:type="dxa"/>
            <w:vAlign w:val="center"/>
          </w:tcPr>
          <w:p w14:paraId="7E1D9DBA">
            <w:pPr>
              <w:numPr>
                <w:ilvl w:val="0"/>
                <w:numId w:val="2"/>
              </w:numPr>
              <w:spacing w:line="320" w:lineRule="exact"/>
              <w:rPr>
                <w:rFonts w:hint="eastAsia" w:ascii="仿宋" w:hAnsi="仿宋" w:eastAsia="仿宋"/>
                <w:color w:val="000000"/>
                <w:sz w:val="24"/>
                <w:szCs w:val="24"/>
                <w:lang w:val="en-US" w:eastAsia="zh-CN"/>
              </w:rPr>
            </w:pPr>
            <w:r>
              <w:rPr>
                <w:rFonts w:hint="eastAsia" w:ascii="仿宋" w:hAnsi="仿宋" w:eastAsia="仿宋"/>
                <w:color w:val="000000"/>
                <w:sz w:val="24"/>
                <w:szCs w:val="24"/>
              </w:rPr>
              <w:t>加盖第一志愿院（所）公章的调剂申请书原件（本校调剂）（学院留存</w:t>
            </w:r>
            <w:r>
              <w:rPr>
                <w:rFonts w:ascii="仿宋" w:hAnsi="仿宋" w:eastAsia="仿宋"/>
                <w:color w:val="000000"/>
                <w:sz w:val="24"/>
                <w:szCs w:val="24"/>
              </w:rPr>
              <w:t>）</w:t>
            </w:r>
            <w:r>
              <w:rPr>
                <w:rFonts w:hint="eastAsia" w:ascii="仿宋" w:hAnsi="仿宋" w:eastAsia="仿宋"/>
                <w:color w:val="000000"/>
                <w:sz w:val="24"/>
                <w:szCs w:val="24"/>
                <w:lang w:eastAsia="zh-CN"/>
              </w:rPr>
              <w:t>（</w:t>
            </w:r>
            <w:r>
              <w:rPr>
                <w:rFonts w:hint="eastAsia" w:ascii="仿宋" w:hAnsi="仿宋" w:eastAsia="仿宋"/>
                <w:b/>
                <w:bCs/>
                <w:color w:val="000000"/>
                <w:sz w:val="24"/>
                <w:szCs w:val="24"/>
                <w:highlight w:val="none"/>
                <w:lang w:val="en-US" w:eastAsia="zh-CN"/>
              </w:rPr>
              <w:t>若为校内其他学院调剂时，提供此项。否则无需提供</w:t>
            </w:r>
            <w:r>
              <w:rPr>
                <w:rFonts w:hint="eastAsia" w:ascii="仿宋" w:hAnsi="仿宋" w:eastAsia="仿宋"/>
                <w:color w:val="000000"/>
                <w:sz w:val="24"/>
                <w:szCs w:val="24"/>
                <w:lang w:eastAsia="zh-CN"/>
              </w:rPr>
              <w:t>）</w:t>
            </w:r>
            <w:bookmarkStart w:id="0" w:name="_GoBack"/>
            <w:bookmarkEnd w:id="0"/>
          </w:p>
        </w:tc>
        <w:tc>
          <w:tcPr>
            <w:tcW w:w="1070" w:type="dxa"/>
          </w:tcPr>
          <w:p w14:paraId="12532996">
            <w:pPr>
              <w:rPr>
                <w:rFonts w:hint="eastAsia" w:ascii="Times New Roman" w:hAnsi="Times New Roman" w:eastAsia="仿宋" w:cs="Times New Roman"/>
                <w:color w:val="000000"/>
                <w:sz w:val="28"/>
                <w:szCs w:val="28"/>
                <w:vertAlign w:val="baseline"/>
                <w:lang w:val="en-US" w:eastAsia="zh-CN"/>
              </w:rPr>
            </w:pPr>
          </w:p>
        </w:tc>
      </w:tr>
      <w:tr w14:paraId="62BD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7920" w:type="dxa"/>
            <w:vAlign w:val="center"/>
          </w:tcPr>
          <w:p w14:paraId="1049B263">
            <w:pPr>
              <w:spacing w:line="320" w:lineRule="exact"/>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8.退役大学生士兵计划的考生，审查考生个人《入伍批准书》和《退出现役证》原件。须提交入伍批准书扫描件（不是入伍通知书），退出现役证扫描件，学籍在线验证报告和学历证书电子注册备案表（应届生提供入伍前学校的教育部学籍在线验证报告，往届生提供教育部学籍在线验证报告和教育部学历证书电子注册备案表。</w:t>
            </w:r>
            <w:r>
              <w:rPr>
                <w:rFonts w:hint="eastAsia" w:ascii="仿宋" w:hAnsi="仿宋" w:eastAsia="仿宋"/>
                <w:color w:val="000000"/>
                <w:sz w:val="24"/>
                <w:szCs w:val="24"/>
              </w:rPr>
              <w:t>（交研究生院入档）</w:t>
            </w:r>
          </w:p>
        </w:tc>
        <w:tc>
          <w:tcPr>
            <w:tcW w:w="1070" w:type="dxa"/>
          </w:tcPr>
          <w:p w14:paraId="4C8A6772">
            <w:pPr>
              <w:rPr>
                <w:rFonts w:hint="eastAsia" w:ascii="Times New Roman" w:hAnsi="Times New Roman" w:eastAsia="仿宋" w:cs="Times New Roman"/>
                <w:color w:val="000000"/>
                <w:sz w:val="28"/>
                <w:szCs w:val="28"/>
                <w:vertAlign w:val="baseline"/>
                <w:lang w:val="en-US" w:eastAsia="zh-CN"/>
              </w:rPr>
            </w:pPr>
          </w:p>
        </w:tc>
      </w:tr>
    </w:tbl>
    <w:p w14:paraId="762BE1AF">
      <w:pPr>
        <w:rPr>
          <w:rFonts w:hint="eastAsia" w:ascii="Times New Roman" w:hAnsi="Times New Roman" w:eastAsia="仿宋" w:cs="Times New Roman"/>
          <w:color w:val="00000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776F60"/>
    <w:multiLevelType w:val="singleLevel"/>
    <w:tmpl w:val="18776F60"/>
    <w:lvl w:ilvl="0" w:tentative="0">
      <w:start w:val="3"/>
      <w:numFmt w:val="decimal"/>
      <w:lvlText w:val="%1."/>
      <w:lvlJc w:val="left"/>
      <w:pPr>
        <w:tabs>
          <w:tab w:val="left" w:pos="312"/>
        </w:tabs>
      </w:pPr>
    </w:lvl>
  </w:abstractNum>
  <w:abstractNum w:abstractNumId="1">
    <w:nsid w:val="53C04D30"/>
    <w:multiLevelType w:val="singleLevel"/>
    <w:tmpl w:val="53C04D30"/>
    <w:lvl w:ilvl="0" w:tentative="0">
      <w:start w:val="7"/>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ZTM3ODUzNmZmZThiOGRiY2Q5MmJkMTc5Y2EwMDgifQ=="/>
  </w:docVars>
  <w:rsids>
    <w:rsidRoot w:val="13DC4309"/>
    <w:rsid w:val="00F94864"/>
    <w:rsid w:val="13DC4309"/>
    <w:rsid w:val="242E22A4"/>
    <w:rsid w:val="306C78F4"/>
    <w:rsid w:val="4C55391A"/>
    <w:rsid w:val="581C0013"/>
    <w:rsid w:val="5EDC6B58"/>
    <w:rsid w:val="6DF85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521</Words>
  <Characters>531</Characters>
  <Lines>0</Lines>
  <Paragraphs>0</Paragraphs>
  <TotalTime>0</TotalTime>
  <ScaleCrop>false</ScaleCrop>
  <LinksUpToDate>false</LinksUpToDate>
  <CharactersWithSpaces>531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2023-03-23T06:41:00Z</dcterms:created>
  <dc:creator>张娟娟</dc:creator>
  <cp:lastModifiedBy>紫水晶</cp:lastModifiedBy>
  <dcterms:modified xsi:type="dcterms:W3CDTF">2025-04-02T07:26:19Z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779BB01A8DE340FB8F7D0A7735505E04_13</vt:lpwstr>
  </property>
  <property fmtid="{D5CDD505-2E9C-101B-9397-08002B2CF9AE}" pid="4" name="KSOTemplateDocerSaveRecord">
    <vt:lpwstr>eyJoZGlkIjoiYjdjZmNiNTkwYTkyOWEwYTNiMjgwYTQ1YWQyMmU5NzQiLCJ1c2VySWQiOiIzMjY3MTgzMjMifQ==</vt:lpwstr>
  </property>
</Properties>
</file>