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风景园林艺术学院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研究生学业奖学金评定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第一章 总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>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第一条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为鼓励研究生勤奋学习、潜心钻研，提高硕士研究生培养质量，根据《西北农林科技大学研究生学业奖学金管理办法（试行）》（校研发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〔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2014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〕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429号）文件精神，本着“公正、公平、公开、择优”的原则，结合我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院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实际，特制定本细则。</w:t>
      </w:r>
    </w:p>
    <w:p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第二章 组织与职责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第二条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成立由党政领导、分管研究生思想政治教育和培养工作的负责人、研究生导师代表、研究生秘书、辅导员、研究生代表等组成的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shd w:val="clear" w:color="auto" w:fill="FFFFFF"/>
        </w:rPr>
        <w:t>研究生奖助工作小组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，负责学院研究生基本奖学金的评定工作及动态考核。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组  长：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侯华伟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张延龙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副组长：洪  波  王文良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成  员：导师代表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研究生秘书 辅导员 研究生代表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eastAsia="zh-CN"/>
        </w:rPr>
        <w:t>第三章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评选对象及奖助标准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第三条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评选对象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研究生学业奖学金奖励对象为就读我院的在籍的全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制非在职研究生，且具有中华人民共和国国籍。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研究生学业奖学金的奖励年限为研究生基本学制年限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以学籍信息为准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。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二年级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及以上基本学习年限内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研究生学业奖学金的评审根据参评学年研究生的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德育成绩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、学习成绩、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创新能力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等内容进行综合评价。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第四条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奖励金额及比例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博士研究生学业奖学金平均奖励标准为每生每年15000元。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一年级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不分等级；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二年级及以上基本学习年限内博士研究生分等级评选，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分别为一等奖每生每年18000元、二等奖每生每年15000元、三等奖每生每年12000元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奖励比例为一等奖占20%、二等奖占60%、三等奖占20%。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学术型硕士研究生学业奖学金平均奖励标准为每生每年8000元。第一学年不分等级；第二和第三学年奖励等级与标准分别为一等奖每生每年10000元、二等奖每生每年8000元、三等奖每生每年6000元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奖励比例为一等奖占20%、二等奖占60%、三等奖占20%。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全日制专业学位硕士研究生学业奖学金平均奖励标准为每生每年8000元，不分等级。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直博生、硕博连读研究生第一至第二学年执行学术型硕士研究生的奖励标准，直博生第三至第五学年执行博士研究生的奖励标准，硕博连读研究生转为博士研究生者执行博士研究生奖励标准，转为硕士研究生者执行学术型硕士研究生奖励标准。</w:t>
      </w:r>
    </w:p>
    <w:p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第四章 申请程序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eastAsia="zh-CN"/>
        </w:rPr>
        <w:t>第五条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  <w:t>申请条件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1.具有中华人民共和国国籍且就读我校的全日制研究生（不包括工商管理、公共管理专业研究生和在职研究生），且具备下列基本条件：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（1）热爱社会主义祖国，拥护中国共产党的领导；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（2）遵守宪法和法律，遵守学校规章制度；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（3）诚实守信，品学兼优；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（4）积极参与科学研究和社会实践；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（5）本人提出申请且导师同意参评。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2.具备下列情形之一的，取消当年申请资格：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（1）课程考试有一门及以上不及格的；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（2）在学校规定时间内未完成学籍注册手续者；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（3）学术研究中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违反学术道德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行为或申请材料中弄虚作假者；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（4）在学习或科研工作中，因个人主观行为给学校带来严重损失者；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（5）违反国家法律法规或校纪校规受到记过以上（含记过）纪律处分者。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3.因公在国（境）外学习且具有我校学籍的研究生，仍具备研究生学业奖学金申请资格。研究生在休学或保留学籍期间，不具备研究生学业奖学金申请资格。</w:t>
      </w:r>
    </w:p>
    <w:p>
      <w:pPr>
        <w:keepNext w:val="0"/>
        <w:keepLines w:val="0"/>
        <w:pageBreakBefore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第六条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 xml:space="preserve"> 申请流程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1.个人申请。研究生填写学业奖学金申请表，经导师签署意见后，提交研究生各班班长，并提供有关证明材料。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2.组织评审。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shd w:val="clear" w:color="auto" w:fill="FFFFFF"/>
        </w:rPr>
        <w:t>研究生奖学金评定工作小组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组织专家组进行评审，评审结果在院内公示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个工作日。公示无异议后，提交学校研究生学业奖学金专项工作组审定。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3.学校审定。学校研究生学业奖学金专项工作组对各学院的评审结果进行审定。公示无异议后，将审定名单提交计划财务处发放研究生学业奖学金。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4.对研究生学业奖学金评审工作及结果有异议者，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可在公示阶段向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奖助工作小组提出申诉，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学院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奖助工作小组及时研究并予以答复。如申诉人对系奖助工作小组做出的答复仍存在异议，可在学校公示阶段向研究生学业奖学金专项工作组提请裁决。</w:t>
      </w:r>
    </w:p>
    <w:p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第五章 指标体系和参照标准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第七条 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奖学金评定指标体系包括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德育成绩（满分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20分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学业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（满分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30分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创新能力（不设上限）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三项内容。计分公式为：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总分=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德育成绩得分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+学业成绩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得分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+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创新能力得分。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 xml:space="preserve">第八条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参照标准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（一）德育成绩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（满分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0分）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具体评分参照标准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导师评分：研究生德育成绩由导师根据学生个人品质修养、参与集体活动和遵守校纪校规等方面，推荐学生参与评奖，导师同意参评，得6分；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获得荣誉加分：获得校级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及以上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荣誉者，每项加2分，满分4分。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活动荣誉加分：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活动荣誉加分满分10分；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各加分项目应有相关文件、证书、原件或部门证明予以证实，否则不予认可。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文体活动若为团体，所有成员均获得该项相应名次得分；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同一活动获不同等级奖，计最高分，不累加，若为不同项目，可累加；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活动获奖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与学生工作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加分按以下标准：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学生工作不累计加分，按最高分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活动获奖计分标准</w:t>
      </w:r>
    </w:p>
    <w:tbl>
      <w:tblPr>
        <w:tblStyle w:val="6"/>
        <w:tblpPr w:leftFromText="180" w:rightFromText="180" w:vertAnchor="text" w:tblpXSpec="center" w:tblpY="1"/>
        <w:tblOverlap w:val="never"/>
        <w:tblW w:w="8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1718"/>
        <w:gridCol w:w="1808"/>
        <w:gridCol w:w="2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获奖级别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文体活动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社会实践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国家级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一等奖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二等奖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三等奖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省部级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一等奖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二等奖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三等奖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校级及地方级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一等奖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二等奖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0.8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18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三等奖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0.5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0.5</w:t>
            </w:r>
          </w:p>
        </w:tc>
      </w:tr>
    </w:tbl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学生工作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计分标准</w:t>
      </w:r>
    </w:p>
    <w:tbl>
      <w:tblPr>
        <w:tblStyle w:val="6"/>
        <w:tblpPr w:leftFromText="180" w:rightFromText="180" w:vertAnchor="text" w:tblpXSpec="center" w:tblpY="1"/>
        <w:tblOverlap w:val="never"/>
        <w:tblW w:w="8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660"/>
        <w:gridCol w:w="3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38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文体活动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校研会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执行主席</w:t>
            </w:r>
          </w:p>
        </w:tc>
        <w:tc>
          <w:tcPr>
            <w:tcW w:w="382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主席团成员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部门负责人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院研会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执行主席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主席团成员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部门负责人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党团支部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党支部书记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党支部委员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班长团支书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研究生助力团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eastAsia="zh-CN"/>
              </w:rPr>
              <w:t>成员</w:t>
            </w:r>
          </w:p>
        </w:tc>
        <w:tc>
          <w:tcPr>
            <w:tcW w:w="38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荣誉加分中所有加分荣誉均应在相应学历层次内获得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，学生工作不累计加分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</w:rPr>
        <w:t>学习成绩（满分30分）：学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 xml:space="preserve">习成绩由课程成绩和外语成绩两部分组成。课程成绩评分计算公式为：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课程成绩评分=[Σ（课程成绩×学分）/Σ学分]*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0％，其中课程是指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本学年所修的研究生培养方案中确定的课程（不含补本科课程），如课程按优、良、中、及格、不及格计分，优按90分计，良按80分计，中按70分计，及格按60分计。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外语成绩：托福成绩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90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分以上，或雅思成绩6.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5及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以上，或GRE成绩1000分以上加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分。</w:t>
      </w:r>
    </w:p>
    <w:p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eastAsia="zh-CN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hint="eastAsia" w:hAnsi="仿宋" w:eastAsia="仿宋"/>
          <w:sz w:val="28"/>
          <w:szCs w:val="28"/>
          <w:lang w:eastAsia="zh-CN"/>
        </w:rPr>
        <w:t>三</w:t>
      </w:r>
      <w:r>
        <w:rPr>
          <w:rFonts w:hAnsi="仿宋" w:eastAsia="仿宋"/>
          <w:sz w:val="28"/>
          <w:szCs w:val="28"/>
        </w:rPr>
        <w:t>）创新能力分</w:t>
      </w:r>
      <w:r>
        <w:rPr>
          <w:rFonts w:hint="eastAsia" w:hAnsi="仿宋" w:eastAsia="仿宋"/>
          <w:sz w:val="28"/>
          <w:szCs w:val="28"/>
          <w:lang w:eastAsia="zh-CN"/>
        </w:rPr>
        <w:t>（不设上限，累加得分）</w:t>
      </w:r>
    </w:p>
    <w:p>
      <w:pPr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hint="eastAsia" w:eastAsia="仿宋"/>
          <w:sz w:val="28"/>
          <w:szCs w:val="28"/>
          <w:lang w:eastAsia="zh-CN"/>
        </w:rPr>
        <w:t>.</w:t>
      </w:r>
      <w:r>
        <w:rPr>
          <w:rFonts w:hAnsi="仿宋" w:eastAsia="仿宋"/>
          <w:sz w:val="28"/>
          <w:szCs w:val="28"/>
        </w:rPr>
        <w:t>发表论文（按以下标准给予加分）</w:t>
      </w:r>
    </w:p>
    <w:p>
      <w:pPr>
        <w:snapToGrid w:val="0"/>
        <w:spacing w:line="360" w:lineRule="auto"/>
        <w:ind w:firstLine="560" w:firstLineChars="200"/>
        <w:rPr>
          <w:rFonts w:hAnsi="仿宋" w:eastAsia="仿宋"/>
          <w:sz w:val="28"/>
          <w:szCs w:val="28"/>
          <w:highlight w:val="none"/>
        </w:rPr>
      </w:pPr>
      <w:r>
        <w:rPr>
          <w:rFonts w:hAnsi="仿宋" w:eastAsia="仿宋"/>
          <w:sz w:val="28"/>
          <w:szCs w:val="28"/>
        </w:rPr>
        <w:t>公开发表的学术论文是指</w:t>
      </w:r>
      <w:r>
        <w:rPr>
          <w:rFonts w:hint="eastAsia" w:hAnsi="仿宋" w:eastAsia="仿宋"/>
          <w:sz w:val="28"/>
          <w:szCs w:val="28"/>
        </w:rPr>
        <w:t>刊载于我校认可的高质量科技期刊（G1/G2/G3/G4）的研究性论文</w:t>
      </w:r>
      <w:r>
        <w:rPr>
          <w:rFonts w:hint="eastAsia" w:hAnsi="仿宋" w:eastAsia="仿宋"/>
          <w:sz w:val="28"/>
          <w:szCs w:val="28"/>
          <w:lang w:eastAsia="zh-CN"/>
        </w:rPr>
        <w:t>或</w:t>
      </w:r>
      <w:r>
        <w:rPr>
          <w:rFonts w:hAnsi="仿宋" w:eastAsia="仿宋"/>
          <w:sz w:val="28"/>
          <w:szCs w:val="28"/>
        </w:rPr>
        <w:t>已在</w:t>
      </w:r>
      <w:r>
        <w:rPr>
          <w:rFonts w:eastAsia="仿宋"/>
          <w:sz w:val="28"/>
          <w:szCs w:val="28"/>
        </w:rPr>
        <w:t>SCI</w:t>
      </w:r>
      <w:r>
        <w:rPr>
          <w:rFonts w:hAnsi="仿宋" w:eastAsia="仿宋"/>
          <w:sz w:val="28"/>
          <w:szCs w:val="28"/>
        </w:rPr>
        <w:t>、</w:t>
      </w:r>
      <w:r>
        <w:rPr>
          <w:rFonts w:hint="eastAsia" w:hAnsi="仿宋" w:eastAsia="仿宋"/>
          <w:sz w:val="28"/>
          <w:szCs w:val="28"/>
          <w:lang w:val="en-US" w:eastAsia="zh-CN"/>
        </w:rPr>
        <w:t>SSCI、CSSCI、</w:t>
      </w:r>
      <w:r>
        <w:rPr>
          <w:rFonts w:hint="eastAsia" w:eastAsia="仿宋"/>
          <w:sz w:val="28"/>
          <w:szCs w:val="28"/>
        </w:rPr>
        <w:t>A&amp;HC</w:t>
      </w:r>
      <w:r>
        <w:rPr>
          <w:rFonts w:hint="eastAsia" w:eastAsia="仿宋"/>
          <w:sz w:val="28"/>
          <w:szCs w:val="28"/>
          <w:lang w:val="en-US" w:eastAsia="zh-CN"/>
        </w:rPr>
        <w:t>I</w:t>
      </w:r>
      <w:r>
        <w:rPr>
          <w:rFonts w:hint="eastAsia" w:eastAsia="仿宋"/>
          <w:sz w:val="28"/>
          <w:szCs w:val="28"/>
          <w:lang w:eastAsia="zh-CN"/>
        </w:rPr>
        <w:t>、</w:t>
      </w:r>
      <w:r>
        <w:rPr>
          <w:rFonts w:eastAsia="仿宋"/>
          <w:sz w:val="28"/>
          <w:szCs w:val="28"/>
        </w:rPr>
        <w:t>EI</w:t>
      </w:r>
      <w:r>
        <w:rPr>
          <w:rFonts w:hAnsi="仿宋" w:eastAsia="仿宋"/>
          <w:sz w:val="28"/>
          <w:szCs w:val="28"/>
        </w:rPr>
        <w:t>和</w:t>
      </w:r>
      <w:r>
        <w:rPr>
          <w:rFonts w:hint="eastAsia" w:hAnsi="仿宋" w:eastAsia="仿宋"/>
          <w:sz w:val="28"/>
          <w:szCs w:val="28"/>
          <w:lang w:eastAsia="zh-CN"/>
        </w:rPr>
        <w:t>北大中文</w:t>
      </w:r>
      <w:r>
        <w:rPr>
          <w:rFonts w:hAnsi="仿宋" w:eastAsia="仿宋"/>
          <w:sz w:val="28"/>
          <w:szCs w:val="28"/>
        </w:rPr>
        <w:t>核心期刊上发表的学术论文</w:t>
      </w:r>
      <w:r>
        <w:rPr>
          <w:rFonts w:hAnsi="仿宋" w:eastAsia="仿宋"/>
          <w:sz w:val="28"/>
          <w:szCs w:val="28"/>
          <w:highlight w:val="none"/>
        </w:rPr>
        <w:t>（含网络在线发表）。</w:t>
      </w:r>
    </w:p>
    <w:p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 xml:space="preserve">公开发表的学术研究论文需满足以下条件：研究生在读期间公开发表、学生为第一作者、导师为通讯作者，西北农林科技大学为第一署名单位且排名顺序为第一。 </w:t>
      </w:r>
    </w:p>
    <w:p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表 公开发表论文加分</w:t>
      </w:r>
    </w:p>
    <w:tbl>
      <w:tblPr>
        <w:tblStyle w:val="6"/>
        <w:tblW w:w="4905" w:type="pct"/>
        <w:tblInd w:w="51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438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发表刊物</w:t>
            </w:r>
          </w:p>
        </w:tc>
        <w:tc>
          <w:tcPr>
            <w:tcW w:w="2378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加分分值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G1/G2期刊</w:t>
            </w:r>
          </w:p>
        </w:tc>
        <w:tc>
          <w:tcPr>
            <w:tcW w:w="2378" w:type="pct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G3期刊/中科院一区期刊</w:t>
            </w:r>
          </w:p>
        </w:tc>
        <w:tc>
          <w:tcPr>
            <w:tcW w:w="2378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80分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 xml:space="preserve">G4期刊/中科院二区期刊 </w:t>
            </w:r>
          </w:p>
        </w:tc>
        <w:tc>
          <w:tcPr>
            <w:tcW w:w="2378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中科院三区期刊</w:t>
            </w:r>
          </w:p>
        </w:tc>
        <w:tc>
          <w:tcPr>
            <w:tcW w:w="2378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中科院四区期刊</w:t>
            </w:r>
          </w:p>
        </w:tc>
        <w:tc>
          <w:tcPr>
            <w:tcW w:w="2378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CSSCI/</w:t>
            </w:r>
            <w:r>
              <w:rPr>
                <w:rFonts w:hint="eastAsia" w:eastAsia="仿宋"/>
                <w:sz w:val="28"/>
                <w:szCs w:val="28"/>
              </w:rPr>
              <w:t>A&amp;HC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I/EI</w:t>
            </w:r>
          </w:p>
        </w:tc>
        <w:tc>
          <w:tcPr>
            <w:tcW w:w="2378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21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北大中文核心期刊</w:t>
            </w:r>
          </w:p>
        </w:tc>
        <w:tc>
          <w:tcPr>
            <w:tcW w:w="2378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5分</w:t>
            </w:r>
          </w:p>
        </w:tc>
      </w:tr>
    </w:tbl>
    <w:p>
      <w:pPr>
        <w:widowControl/>
        <w:shd w:val="clear" w:color="auto" w:fill="FFFFFF"/>
        <w:snapToGrid w:val="0"/>
        <w:spacing w:line="360" w:lineRule="auto"/>
        <w:ind w:firstLine="560" w:firstLineChars="200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SCI</w:t>
      </w:r>
      <w:r>
        <w:rPr>
          <w:rFonts w:hAnsi="仿宋" w:eastAsia="仿宋"/>
          <w:kern w:val="0"/>
          <w:sz w:val="28"/>
          <w:szCs w:val="28"/>
        </w:rPr>
        <w:t>、</w:t>
      </w:r>
      <w:r>
        <w:rPr>
          <w:rFonts w:eastAsia="仿宋"/>
          <w:kern w:val="0"/>
          <w:sz w:val="28"/>
          <w:szCs w:val="28"/>
        </w:rPr>
        <w:t>SSCI</w:t>
      </w:r>
      <w:r>
        <w:rPr>
          <w:rFonts w:hint="eastAsia" w:eastAsia="仿宋"/>
          <w:kern w:val="0"/>
          <w:sz w:val="28"/>
          <w:szCs w:val="28"/>
          <w:lang w:eastAsia="zh-CN"/>
        </w:rPr>
        <w:t>、</w:t>
      </w:r>
      <w:r>
        <w:rPr>
          <w:rFonts w:hint="eastAsia" w:hAnsi="仿宋" w:eastAsia="仿宋"/>
          <w:sz w:val="28"/>
          <w:szCs w:val="28"/>
          <w:lang w:val="en-US" w:eastAsia="zh-CN"/>
        </w:rPr>
        <w:t>CSSCI、</w:t>
      </w:r>
      <w:r>
        <w:rPr>
          <w:rFonts w:hint="eastAsia" w:eastAsia="仿宋"/>
          <w:sz w:val="28"/>
          <w:szCs w:val="28"/>
        </w:rPr>
        <w:t>A&amp;HC</w:t>
      </w:r>
      <w:r>
        <w:rPr>
          <w:rFonts w:hint="eastAsia" w:eastAsia="仿宋"/>
          <w:sz w:val="28"/>
          <w:szCs w:val="28"/>
          <w:lang w:val="en-US" w:eastAsia="zh-CN"/>
        </w:rPr>
        <w:t>I</w:t>
      </w:r>
      <w:r>
        <w:rPr>
          <w:rFonts w:hAnsi="仿宋" w:eastAsia="仿宋"/>
          <w:kern w:val="0"/>
          <w:sz w:val="28"/>
          <w:szCs w:val="28"/>
        </w:rPr>
        <w:t>和</w:t>
      </w:r>
      <w:r>
        <w:rPr>
          <w:rFonts w:eastAsia="仿宋"/>
          <w:kern w:val="0"/>
          <w:sz w:val="28"/>
          <w:szCs w:val="28"/>
        </w:rPr>
        <w:t>EI</w:t>
      </w:r>
      <w:r>
        <w:rPr>
          <w:rFonts w:hAnsi="仿宋" w:eastAsia="仿宋"/>
          <w:kern w:val="0"/>
          <w:sz w:val="28"/>
          <w:szCs w:val="28"/>
        </w:rPr>
        <w:t>论文单篇记分比率：并列第一作者为</w:t>
      </w:r>
      <w:r>
        <w:rPr>
          <w:rFonts w:eastAsia="仿宋"/>
          <w:kern w:val="0"/>
          <w:sz w:val="28"/>
          <w:szCs w:val="28"/>
        </w:rPr>
        <w:t>2</w:t>
      </w:r>
      <w:r>
        <w:rPr>
          <w:rFonts w:hAnsi="仿宋" w:eastAsia="仿宋"/>
          <w:kern w:val="0"/>
          <w:sz w:val="28"/>
          <w:szCs w:val="28"/>
        </w:rPr>
        <w:t>人时，按照排名分别占总加分的</w:t>
      </w:r>
      <w:r>
        <w:rPr>
          <w:rFonts w:eastAsia="仿宋"/>
          <w:kern w:val="0"/>
          <w:sz w:val="28"/>
          <w:szCs w:val="28"/>
        </w:rPr>
        <w:t>60%</w:t>
      </w:r>
      <w:r>
        <w:rPr>
          <w:rFonts w:hAnsi="仿宋" w:eastAsia="仿宋"/>
          <w:kern w:val="0"/>
          <w:sz w:val="28"/>
          <w:szCs w:val="28"/>
        </w:rPr>
        <w:t>和</w:t>
      </w:r>
      <w:r>
        <w:rPr>
          <w:rFonts w:eastAsia="仿宋"/>
          <w:kern w:val="0"/>
          <w:sz w:val="28"/>
          <w:szCs w:val="28"/>
        </w:rPr>
        <w:t>40%</w:t>
      </w:r>
      <w:r>
        <w:rPr>
          <w:rFonts w:hAnsi="仿宋" w:eastAsia="仿宋"/>
          <w:kern w:val="0"/>
          <w:sz w:val="28"/>
          <w:szCs w:val="28"/>
        </w:rPr>
        <w:t>记分；并列第一作者为</w:t>
      </w:r>
      <w:r>
        <w:rPr>
          <w:rFonts w:eastAsia="仿宋"/>
          <w:kern w:val="0"/>
          <w:sz w:val="28"/>
          <w:szCs w:val="28"/>
        </w:rPr>
        <w:t>3</w:t>
      </w:r>
      <w:r>
        <w:rPr>
          <w:rFonts w:hAnsi="仿宋" w:eastAsia="仿宋"/>
          <w:kern w:val="0"/>
          <w:sz w:val="28"/>
          <w:szCs w:val="28"/>
        </w:rPr>
        <w:t>人时，按照排名分别占总加分的</w:t>
      </w:r>
      <w:r>
        <w:rPr>
          <w:rFonts w:eastAsia="仿宋"/>
          <w:kern w:val="0"/>
          <w:sz w:val="28"/>
          <w:szCs w:val="28"/>
        </w:rPr>
        <w:t>50%</w:t>
      </w:r>
      <w:r>
        <w:rPr>
          <w:rFonts w:hAnsi="仿宋" w:eastAsia="仿宋"/>
          <w:kern w:val="0"/>
          <w:sz w:val="28"/>
          <w:szCs w:val="28"/>
        </w:rPr>
        <w:t>、</w:t>
      </w:r>
      <w:r>
        <w:rPr>
          <w:rFonts w:eastAsia="仿宋"/>
          <w:kern w:val="0"/>
          <w:sz w:val="28"/>
          <w:szCs w:val="28"/>
        </w:rPr>
        <w:t>30%</w:t>
      </w:r>
      <w:r>
        <w:rPr>
          <w:rFonts w:hAnsi="仿宋" w:eastAsia="仿宋"/>
          <w:kern w:val="0"/>
          <w:sz w:val="28"/>
          <w:szCs w:val="28"/>
        </w:rPr>
        <w:t>和</w:t>
      </w:r>
      <w:r>
        <w:rPr>
          <w:rFonts w:eastAsia="仿宋"/>
          <w:kern w:val="0"/>
          <w:sz w:val="28"/>
          <w:szCs w:val="28"/>
        </w:rPr>
        <w:t>20%</w:t>
      </w:r>
      <w:r>
        <w:rPr>
          <w:rFonts w:hAnsi="仿宋" w:eastAsia="仿宋"/>
          <w:kern w:val="0"/>
          <w:sz w:val="28"/>
          <w:szCs w:val="28"/>
        </w:rPr>
        <w:t>记分</w:t>
      </w:r>
      <w:r>
        <w:rPr>
          <w:rFonts w:hint="eastAsia" w:hAnsi="仿宋" w:eastAsia="仿宋"/>
          <w:kern w:val="0"/>
          <w:sz w:val="28"/>
          <w:szCs w:val="28"/>
          <w:lang w:eastAsia="zh-CN"/>
        </w:rPr>
        <w:t>；</w:t>
      </w:r>
      <w:r>
        <w:rPr>
          <w:rFonts w:hint="eastAsia" w:hAnsi="仿宋" w:eastAsia="仿宋"/>
          <w:kern w:val="0"/>
          <w:sz w:val="28"/>
          <w:szCs w:val="28"/>
        </w:rPr>
        <w:t>并列第一作者为3人以上时，按照排名从第4人开始不予加分。</w:t>
      </w:r>
    </w:p>
    <w:p>
      <w:pPr>
        <w:snapToGrid w:val="0"/>
        <w:spacing w:line="360" w:lineRule="auto"/>
        <w:ind w:firstLine="560" w:firstLineChars="200"/>
        <w:rPr>
          <w:rFonts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参评论文需提供论文全文与我校图书馆开具的检索证明，其中</w:t>
      </w:r>
      <w:r>
        <w:rPr>
          <w:rFonts w:hint="eastAsia" w:hAnsi="仿宋" w:eastAsia="仿宋"/>
          <w:sz w:val="28"/>
          <w:szCs w:val="28"/>
          <w:lang w:eastAsia="zh-CN"/>
        </w:rPr>
        <w:t>收录</w:t>
      </w:r>
      <w:r>
        <w:rPr>
          <w:rFonts w:hint="eastAsia" w:hAnsi="仿宋" w:eastAsia="仿宋"/>
          <w:sz w:val="28"/>
          <w:szCs w:val="28"/>
        </w:rPr>
        <w:t>论文以中科院大类分区</w:t>
      </w:r>
      <w:r>
        <w:rPr>
          <w:rFonts w:hint="eastAsia" w:hAnsi="仿宋" w:eastAsia="仿宋"/>
          <w:sz w:val="28"/>
          <w:szCs w:val="28"/>
          <w:lang w:eastAsia="zh-CN"/>
        </w:rPr>
        <w:t>（</w:t>
      </w:r>
      <w:r>
        <w:rPr>
          <w:rFonts w:hint="eastAsia" w:hAnsi="仿宋" w:eastAsia="仿宋"/>
          <w:sz w:val="28"/>
          <w:szCs w:val="28"/>
        </w:rPr>
        <w:t>升级版</w:t>
      </w:r>
      <w:r>
        <w:rPr>
          <w:rFonts w:hint="eastAsia" w:hAnsi="仿宋" w:eastAsia="仿宋"/>
          <w:sz w:val="28"/>
          <w:szCs w:val="28"/>
          <w:lang w:eastAsia="zh-CN"/>
        </w:rPr>
        <w:t>）</w:t>
      </w:r>
      <w:r>
        <w:rPr>
          <w:rFonts w:hint="eastAsia" w:hAnsi="仿宋" w:eastAsia="仿宋"/>
          <w:sz w:val="28"/>
          <w:szCs w:val="28"/>
        </w:rPr>
        <w:t>为依据，中文核心期刊以最新版《中文核心期刊要目总览》为依据；对网络在线发表但还没有页码的</w:t>
      </w:r>
      <w:r>
        <w:rPr>
          <w:rFonts w:hint="eastAsia" w:hAnsi="仿宋" w:eastAsia="仿宋"/>
          <w:sz w:val="28"/>
          <w:szCs w:val="28"/>
          <w:lang w:eastAsia="zh-CN"/>
        </w:rPr>
        <w:t>收录</w:t>
      </w:r>
      <w:r>
        <w:rPr>
          <w:rFonts w:hint="eastAsia" w:hAnsi="仿宋" w:eastAsia="仿宋"/>
          <w:sz w:val="28"/>
          <w:szCs w:val="28"/>
        </w:rPr>
        <w:t>论文，请打印网络版论文</w:t>
      </w:r>
      <w:r>
        <w:rPr>
          <w:rFonts w:hint="eastAsia" w:hAnsi="仿宋" w:eastAsia="仿宋"/>
          <w:sz w:val="28"/>
          <w:szCs w:val="28"/>
          <w:lang w:eastAsia="zh-CN"/>
        </w:rPr>
        <w:t>全文</w:t>
      </w:r>
      <w:r>
        <w:rPr>
          <w:rFonts w:hint="eastAsia" w:hAnsi="仿宋" w:eastAsia="仿宋"/>
          <w:sz w:val="28"/>
          <w:szCs w:val="28"/>
        </w:rPr>
        <w:t>。【曾获奖助学金者已经使用过的科研成果不得再次使用，同一篇论文只记一次分值】。</w:t>
      </w:r>
    </w:p>
    <w:p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2.</w:t>
      </w:r>
      <w:r>
        <w:rPr>
          <w:rFonts w:hAnsi="仿宋" w:eastAsia="仿宋"/>
          <w:sz w:val="28"/>
          <w:szCs w:val="28"/>
        </w:rPr>
        <w:t>科研成果获奖（按以下标准给予加分）</w:t>
      </w:r>
    </w:p>
    <w:p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表 科研成果获奖加分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371"/>
        <w:gridCol w:w="603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9" w:type="pct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奖励级别</w:t>
            </w:r>
          </w:p>
        </w:tc>
        <w:tc>
          <w:tcPr>
            <w:tcW w:w="3210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9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Ansi="仿宋" w:eastAsia="仿宋"/>
                <w:sz w:val="28"/>
                <w:szCs w:val="28"/>
              </w:rPr>
              <w:t>国家级科学技术奖</w:t>
            </w:r>
          </w:p>
        </w:tc>
        <w:tc>
          <w:tcPr>
            <w:tcW w:w="3210" w:type="pct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100分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restar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省部级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科学技术奖</w:t>
            </w: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一等奖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80分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二等奖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三等奖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证书持有者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restar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设计类国际奖（参见附件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一级别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80分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二级别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三级别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restar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设计类国内奖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（参见附件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一级别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二级别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0" w:type="pct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29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三级别</w:t>
            </w:r>
          </w:p>
        </w:tc>
        <w:tc>
          <w:tcPr>
            <w:tcW w:w="3210" w:type="pct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20分</w:t>
            </w:r>
          </w:p>
        </w:tc>
      </w:tr>
    </w:tbl>
    <w:p>
      <w:pPr>
        <w:snapToGrid w:val="0"/>
        <w:spacing w:before="156" w:beforeLines="50" w:line="360" w:lineRule="auto"/>
        <w:ind w:firstLine="560" w:firstLineChars="200"/>
        <w:rPr>
          <w:rFonts w:hint="eastAsia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hAnsi="仿宋" w:eastAsia="仿宋"/>
          <w:sz w:val="28"/>
          <w:szCs w:val="28"/>
          <w:highlight w:val="none"/>
          <w:lang w:val="en-US" w:eastAsia="zh-CN"/>
        </w:rPr>
        <w:t>设计类国际奖、设计类国内奖获奖人记分比率：完成人为1人时，按照加分的100%记分；完成人为2人时，按照排名分别占总加分的60%和40%记分；完成人为3人时，按照排名分别占总加分的50%、30%、20%记分；完成人为4人时，按照排名分别占总加分的50%、30%、10%、10%记分；完成人为4人以上时，按照排名从第5人开始不予加分。</w:t>
      </w:r>
    </w:p>
    <w:p>
      <w:pPr>
        <w:snapToGrid w:val="0"/>
        <w:spacing w:before="156" w:beforeLines="50" w:line="360" w:lineRule="auto"/>
        <w:ind w:firstLine="560" w:firstLineChars="200"/>
        <w:rPr>
          <w:rFonts w:hAnsi="仿宋" w:eastAsia="仿宋"/>
          <w:sz w:val="28"/>
          <w:szCs w:val="28"/>
          <w:highlight w:val="none"/>
        </w:rPr>
      </w:pPr>
      <w:r>
        <w:rPr>
          <w:rFonts w:hint="eastAsia" w:hAnsi="仿宋" w:eastAsia="仿宋"/>
          <w:sz w:val="28"/>
          <w:szCs w:val="28"/>
          <w:highlight w:val="none"/>
          <w:lang w:val="en-US" w:eastAsia="zh-CN"/>
        </w:rPr>
        <w:t>3.</w:t>
      </w:r>
      <w:r>
        <w:rPr>
          <w:rFonts w:hAnsi="仿宋" w:eastAsia="仿宋"/>
          <w:sz w:val="28"/>
          <w:szCs w:val="28"/>
          <w:highlight w:val="none"/>
        </w:rPr>
        <w:t>获批专利</w:t>
      </w:r>
    </w:p>
    <w:p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 xml:space="preserve">表 </w:t>
      </w:r>
      <w:r>
        <w:rPr>
          <w:rFonts w:hint="eastAsia" w:hAnsi="仿宋" w:eastAsia="仿宋"/>
          <w:sz w:val="28"/>
          <w:szCs w:val="28"/>
          <w:lang w:eastAsia="zh-CN"/>
        </w:rPr>
        <w:t>获批专利</w:t>
      </w:r>
      <w:r>
        <w:rPr>
          <w:rFonts w:hint="eastAsia" w:hAnsi="仿宋" w:eastAsia="仿宋"/>
          <w:sz w:val="28"/>
          <w:szCs w:val="28"/>
        </w:rPr>
        <w:t>加分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670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奖励级别</w:t>
            </w:r>
          </w:p>
        </w:tc>
        <w:tc>
          <w:tcPr>
            <w:tcW w:w="67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发明专利</w:t>
            </w:r>
          </w:p>
        </w:tc>
        <w:tc>
          <w:tcPr>
            <w:tcW w:w="67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60分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软件著作权</w:t>
            </w:r>
          </w:p>
        </w:tc>
        <w:tc>
          <w:tcPr>
            <w:tcW w:w="670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30分</w:t>
            </w:r>
          </w:p>
        </w:tc>
      </w:tr>
    </w:tbl>
    <w:p>
      <w:pPr>
        <w:snapToGrid w:val="0"/>
        <w:spacing w:line="360" w:lineRule="auto"/>
        <w:ind w:firstLine="560" w:firstLineChars="200"/>
        <w:rPr>
          <w:rFonts w:hAnsi="仿宋"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前</w:t>
      </w:r>
      <w:r>
        <w:rPr>
          <w:rFonts w:eastAsia="仿宋"/>
          <w:sz w:val="28"/>
          <w:szCs w:val="28"/>
        </w:rPr>
        <w:t>5</w:t>
      </w:r>
      <w:r>
        <w:rPr>
          <w:rFonts w:hAnsi="仿宋" w:eastAsia="仿宋"/>
          <w:sz w:val="28"/>
          <w:szCs w:val="28"/>
        </w:rPr>
        <w:t>名</w:t>
      </w:r>
      <w:r>
        <w:rPr>
          <w:rFonts w:hint="eastAsia" w:hAnsi="仿宋" w:eastAsia="仿宋"/>
          <w:sz w:val="28"/>
          <w:szCs w:val="28"/>
          <w:highlight w:val="none"/>
          <w:lang w:eastAsia="zh-CN"/>
        </w:rPr>
        <w:t>（去掉导师后）</w:t>
      </w:r>
      <w:r>
        <w:rPr>
          <w:rFonts w:hAnsi="仿宋" w:eastAsia="仿宋"/>
          <w:sz w:val="28"/>
          <w:szCs w:val="28"/>
        </w:rPr>
        <w:t>加分依次按同级别的</w:t>
      </w:r>
      <w:r>
        <w:rPr>
          <w:rFonts w:eastAsia="仿宋"/>
          <w:sz w:val="28"/>
          <w:szCs w:val="28"/>
        </w:rPr>
        <w:t>100%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80%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60%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40%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20%</w:t>
      </w:r>
      <w:r>
        <w:rPr>
          <w:rFonts w:hAnsi="仿宋" w:eastAsia="仿宋"/>
          <w:sz w:val="28"/>
          <w:szCs w:val="28"/>
        </w:rPr>
        <w:t>加相应的分。</w:t>
      </w:r>
    </w:p>
    <w:p>
      <w:pPr>
        <w:numPr>
          <w:ilvl w:val="0"/>
          <w:numId w:val="1"/>
        </w:num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颁布标准</w:t>
      </w:r>
    </w:p>
    <w:p>
      <w:pPr>
        <w:numPr>
          <w:ilvl w:val="0"/>
          <w:numId w:val="0"/>
        </w:numPr>
        <w:snapToGrid w:val="0"/>
        <w:spacing w:line="360" w:lineRule="auto"/>
        <w:jc w:val="center"/>
        <w:rPr>
          <w:rFonts w:hint="eastAsia"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表 颁布标准加分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670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级别</w:t>
            </w:r>
          </w:p>
        </w:tc>
        <w:tc>
          <w:tcPr>
            <w:tcW w:w="67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国家级标准</w:t>
            </w:r>
          </w:p>
        </w:tc>
        <w:tc>
          <w:tcPr>
            <w:tcW w:w="67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起草人60分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行业、地方标准</w:t>
            </w:r>
          </w:p>
        </w:tc>
        <w:tc>
          <w:tcPr>
            <w:tcW w:w="670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起草人30分</w:t>
            </w:r>
          </w:p>
        </w:tc>
      </w:tr>
    </w:tbl>
    <w:p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val="en-US" w:eastAsia="zh-CN"/>
        </w:rPr>
      </w:pPr>
    </w:p>
    <w:p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5.</w:t>
      </w:r>
      <w:r>
        <w:rPr>
          <w:rFonts w:hAnsi="仿宋" w:eastAsia="仿宋"/>
          <w:sz w:val="28"/>
          <w:szCs w:val="28"/>
        </w:rPr>
        <w:t>审定品种</w:t>
      </w:r>
    </w:p>
    <w:p>
      <w:pPr>
        <w:snapToGrid w:val="0"/>
        <w:spacing w:line="360" w:lineRule="auto"/>
        <w:ind w:firstLine="560" w:firstLineChars="200"/>
        <w:jc w:val="center"/>
        <w:rPr>
          <w:rFonts w:eastAsia="仿宋"/>
          <w:sz w:val="28"/>
          <w:szCs w:val="28"/>
        </w:rPr>
      </w:pPr>
      <w:r>
        <w:rPr>
          <w:rFonts w:hint="eastAsia" w:hAnsi="仿宋" w:eastAsia="仿宋"/>
          <w:sz w:val="28"/>
          <w:szCs w:val="28"/>
        </w:rPr>
        <w:t>表 品种审定加分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670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奖励级别</w:t>
            </w:r>
          </w:p>
        </w:tc>
        <w:tc>
          <w:tcPr>
            <w:tcW w:w="67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加分分值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国家级</w:t>
            </w:r>
          </w:p>
        </w:tc>
        <w:tc>
          <w:tcPr>
            <w:tcW w:w="67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100</w:t>
            </w:r>
            <w:r>
              <w:rPr>
                <w:rFonts w:hAnsi="仿宋" w:eastAsia="仿宋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省</w:t>
            </w:r>
            <w:r>
              <w:rPr>
                <w:rFonts w:hint="eastAsia" w:hAnsi="仿宋" w:eastAsia="仿宋"/>
                <w:sz w:val="28"/>
                <w:szCs w:val="28"/>
                <w:lang w:eastAsia="zh-CN"/>
              </w:rPr>
              <w:t>部</w:t>
            </w:r>
            <w:r>
              <w:rPr>
                <w:rFonts w:hAnsi="仿宋" w:eastAsia="仿宋"/>
                <w:sz w:val="28"/>
                <w:szCs w:val="28"/>
              </w:rPr>
              <w:t>级</w:t>
            </w:r>
          </w:p>
        </w:tc>
        <w:tc>
          <w:tcPr>
            <w:tcW w:w="6708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hAnsi="仿宋" w:eastAsia="仿宋"/>
                <w:sz w:val="28"/>
                <w:szCs w:val="28"/>
                <w:lang w:val="en-US" w:eastAsia="zh-CN"/>
              </w:rPr>
              <w:t>50</w:t>
            </w:r>
            <w:r>
              <w:rPr>
                <w:rFonts w:hAnsi="仿宋" w:eastAsia="仿宋"/>
                <w:sz w:val="28"/>
                <w:szCs w:val="28"/>
              </w:rPr>
              <w:t>分</w:t>
            </w:r>
          </w:p>
        </w:tc>
      </w:tr>
    </w:tbl>
    <w:p>
      <w:pPr>
        <w:snapToGrid w:val="0"/>
        <w:spacing w:line="360" w:lineRule="auto"/>
        <w:ind w:firstLine="560" w:firstLineChars="200"/>
        <w:rPr>
          <w:rFonts w:hAnsi="仿宋" w:eastAsia="仿宋"/>
          <w:b/>
          <w:color w:val="000000"/>
          <w:sz w:val="28"/>
          <w:szCs w:val="28"/>
        </w:rPr>
      </w:pPr>
      <w:r>
        <w:rPr>
          <w:rFonts w:hAnsi="仿宋" w:eastAsia="仿宋"/>
          <w:sz w:val="28"/>
          <w:szCs w:val="28"/>
        </w:rPr>
        <w:t>前</w:t>
      </w:r>
      <w:r>
        <w:rPr>
          <w:rFonts w:eastAsia="仿宋"/>
          <w:sz w:val="28"/>
          <w:szCs w:val="28"/>
        </w:rPr>
        <w:t>5</w:t>
      </w:r>
      <w:r>
        <w:rPr>
          <w:rFonts w:hAnsi="仿宋" w:eastAsia="仿宋"/>
          <w:sz w:val="28"/>
          <w:szCs w:val="28"/>
        </w:rPr>
        <w:t>名</w:t>
      </w:r>
      <w:r>
        <w:rPr>
          <w:rFonts w:hint="eastAsia" w:hAnsi="仿宋" w:eastAsia="仿宋"/>
          <w:sz w:val="28"/>
          <w:szCs w:val="28"/>
          <w:highlight w:val="none"/>
          <w:lang w:eastAsia="zh-CN"/>
        </w:rPr>
        <w:t>（去掉导师后）</w:t>
      </w:r>
      <w:r>
        <w:rPr>
          <w:rFonts w:hAnsi="仿宋" w:eastAsia="仿宋"/>
          <w:sz w:val="28"/>
          <w:szCs w:val="28"/>
        </w:rPr>
        <w:t>加分依次按同级别的</w:t>
      </w:r>
      <w:r>
        <w:rPr>
          <w:rFonts w:eastAsia="仿宋"/>
          <w:sz w:val="28"/>
          <w:szCs w:val="28"/>
        </w:rPr>
        <w:t>100%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80%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60%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40%</w:t>
      </w:r>
      <w:r>
        <w:rPr>
          <w:rFonts w:hAnsi="仿宋" w:eastAsia="仿宋"/>
          <w:sz w:val="28"/>
          <w:szCs w:val="28"/>
        </w:rPr>
        <w:t>、</w:t>
      </w:r>
      <w:r>
        <w:rPr>
          <w:rFonts w:eastAsia="仿宋"/>
          <w:sz w:val="28"/>
          <w:szCs w:val="28"/>
        </w:rPr>
        <w:t>20%</w:t>
      </w:r>
      <w:r>
        <w:rPr>
          <w:rFonts w:hAnsi="仿宋" w:eastAsia="仿宋"/>
          <w:sz w:val="28"/>
          <w:szCs w:val="28"/>
        </w:rPr>
        <w:t>加相应的分。</w:t>
      </w:r>
    </w:p>
    <w:p>
      <w:pPr>
        <w:snapToGrid w:val="0"/>
        <w:spacing w:line="360" w:lineRule="auto"/>
        <w:ind w:firstLine="560" w:firstLineChars="200"/>
        <w:rPr>
          <w:rFonts w:hint="eastAsia" w:hAnsi="仿宋" w:eastAsia="仿宋"/>
          <w:sz w:val="28"/>
          <w:szCs w:val="28"/>
          <w:lang w:val="en-US" w:eastAsia="zh-CN"/>
        </w:rPr>
      </w:pPr>
      <w:r>
        <w:rPr>
          <w:rFonts w:hint="eastAsia" w:hAnsi="仿宋" w:eastAsia="仿宋"/>
          <w:sz w:val="28"/>
          <w:szCs w:val="28"/>
          <w:lang w:val="en-US" w:eastAsia="zh-CN"/>
        </w:rPr>
        <w:t>6.课外学习能力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在全国学科竞赛中获得奖励者，按照一、二、三等奖的梯度分别加10、8、5分；在省级学科竞赛中获得奖励者，按照一、二、三等奖的梯度分别加5、4、3分；在校级学科竞赛中获得奖励者，按照一、二、三等奖的梯度分别加3、2、1分（以证书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所有参评奖项、成果均为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参评上一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学年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9月1日至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当年的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8月31日内所获。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 xml:space="preserve">第十条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已获得研究生学业奖学金的研究生，被发现存在本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细则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条第2款情形的，取消当年研究生学业奖学金获奖资格，并追回已发放的研究生学业奖学金。</w:t>
      </w:r>
    </w:p>
    <w:p>
      <w:pPr>
        <w:keepNext w:val="0"/>
        <w:keepLines w:val="0"/>
        <w:pageBreakBefore w:val="0"/>
        <w:widowControl w:val="0"/>
        <w:tabs>
          <w:tab w:val="left" w:pos="61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highlight w:val="none"/>
          <w:lang w:val="en-US" w:eastAsia="zh-CN"/>
        </w:rPr>
        <w:t>第七章 附 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第十一条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细则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公布之日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起实施。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>第十二条 如有未尽事宜，请参照学校学业奖学金办法及相关文件执行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atLeas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风景园林艺术学院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atLeast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           2023年3月13日</w:t>
      </w:r>
    </w:p>
    <w:p>
      <w:pPr>
        <w:spacing w:line="300" w:lineRule="auto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>
      <w:pPr>
        <w:spacing w:line="300" w:lineRule="auto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br w:type="page"/>
      </w:r>
    </w:p>
    <w:p>
      <w:pPr>
        <w:pStyle w:val="2"/>
        <w:spacing w:before="156" w:after="156"/>
        <w:jc w:val="center"/>
        <w:rPr>
          <w:rFonts w:eastAsia="仿宋" w:cs="Times New Roman"/>
          <w:b/>
          <w:bCs/>
          <w:color w:val="auto"/>
          <w:kern w:val="2"/>
          <w:szCs w:val="28"/>
          <w:lang w:val="en-US"/>
        </w:rPr>
      </w:pPr>
      <w:r>
        <w:rPr>
          <w:rFonts w:eastAsia="仿宋" w:cs="Times New Roman"/>
          <w:b/>
          <w:bCs/>
          <w:color w:val="auto"/>
          <w:kern w:val="2"/>
          <w:szCs w:val="28"/>
          <w:lang w:val="en-US"/>
        </w:rPr>
        <w:t>附表</w:t>
      </w:r>
      <w:r>
        <w:rPr>
          <w:rFonts w:hint="eastAsia" w:eastAsia="仿宋" w:cs="Times New Roman"/>
          <w:b/>
          <w:bCs/>
          <w:color w:val="auto"/>
          <w:kern w:val="2"/>
          <w:szCs w:val="28"/>
          <w:lang w:val="en-US" w:eastAsia="zh-CN"/>
        </w:rPr>
        <w:t>1</w:t>
      </w:r>
      <w:r>
        <w:rPr>
          <w:rFonts w:eastAsia="仿宋" w:cs="Times New Roman"/>
          <w:b/>
          <w:bCs/>
          <w:color w:val="auto"/>
          <w:kern w:val="2"/>
          <w:szCs w:val="28"/>
          <w:lang w:val="en-US"/>
        </w:rPr>
        <w:t>： 国际设计类奖项</w:t>
      </w:r>
    </w:p>
    <w:tbl>
      <w:tblPr>
        <w:tblStyle w:val="6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667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设奖单位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国际建协专业奖（城市规划奖、建筑技术奖、建筑教育奖、改善人居质量奖）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国际建筑师协会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世界人居奖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英国建造与社会住房基金会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联合国人居环境奖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联合国人居中心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阿卡汗奖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卡塔尔阿卡汗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亚洲建协奖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亚洲建筑师协会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联合国教科文组织亚太地区文化保护奖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联合国教科文组织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国际照明设计奖项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国际照明设计师协会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亚澳地区建筑遗产保护奖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国际建筑师协会亚澳委员会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IFLA亚太地区年度奖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国际风景园林师联合会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ASLA年度奖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美国风景园林协会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BALI英国国家景观奖年度奖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英国风景园林行业协会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意大利托萨罗伦佐国际风景园林奖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联合国教科文组织意大利全国委员会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红点奖（red dot）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德国威斯特法伦北威设计中心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IF设计奖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德国汉诺威工业设计论坛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4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IDEA奖（美国工业设计优秀奖）</w:t>
            </w:r>
          </w:p>
        </w:tc>
        <w:tc>
          <w:tcPr>
            <w:tcW w:w="3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美国商业周刊</w:t>
            </w:r>
          </w:p>
        </w:tc>
      </w:tr>
    </w:tbl>
    <w:p>
      <w:pPr>
        <w:pStyle w:val="2"/>
        <w:spacing w:before="156" w:after="156"/>
        <w:jc w:val="center"/>
        <w:rPr>
          <w:rFonts w:ascii="仿宋" w:hAnsi="仿宋" w:eastAsia="仿宋" w:cs="仿宋"/>
          <w:b/>
          <w:bCs/>
          <w:color w:val="auto"/>
          <w:kern w:val="2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Cs w:val="28"/>
          <w:lang w:val="en-US"/>
        </w:rPr>
        <w:t>附表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kern w:val="2"/>
          <w:szCs w:val="28"/>
          <w:lang w:val="en-US"/>
        </w:rPr>
        <w:t>： 国内设计类奖项</w:t>
      </w:r>
    </w:p>
    <w:tbl>
      <w:tblPr>
        <w:tblStyle w:val="6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867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设奖单位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中国建筑学会建筑教育奖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中国建筑学会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全国优秀勘察设计奖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国家文物局文物科技进步奖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国家文物局优秀文物保护工程奖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国家文物局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全国绿色建筑创新奖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中国建筑学会建筑创作奖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中国建筑学会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全国优秀城乡规划设计奖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建设部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优秀风景园林规划设计奖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中国风景园林学会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全国大学生广告艺术大赛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中国高等教育学会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中、日、韩大学生风景园林设计竞赛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中国风景园林学会、日本造园学会、韩国造景学会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中国人居环境设计学年奖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清华大学、教育部高等学校设计学类专业教学指导委员会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全国高校数字艺术设计大赛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工业和信息化部人才交流中心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国家一级学会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协会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主办的学科相关竞赛及设计展览</w:t>
            </w:r>
          </w:p>
        </w:tc>
        <w:tc>
          <w:tcPr>
            <w:tcW w:w="3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国家一级学会（协会），不含分委会、专委会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2098" w:right="1361" w:bottom="1984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b/>
                        <w:bCs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b/>
                        <w:bCs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626E3"/>
    <w:multiLevelType w:val="singleLevel"/>
    <w:tmpl w:val="D3E626E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887885"/>
    <w:multiLevelType w:val="singleLevel"/>
    <w:tmpl w:val="60887885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00A920E5"/>
    <w:rsid w:val="00010950"/>
    <w:rsid w:val="0012638C"/>
    <w:rsid w:val="001B04D4"/>
    <w:rsid w:val="001F7184"/>
    <w:rsid w:val="002F4A9B"/>
    <w:rsid w:val="003E64E6"/>
    <w:rsid w:val="004C54D6"/>
    <w:rsid w:val="004F3A81"/>
    <w:rsid w:val="005329E0"/>
    <w:rsid w:val="00715303"/>
    <w:rsid w:val="007C6491"/>
    <w:rsid w:val="00822598"/>
    <w:rsid w:val="0086292E"/>
    <w:rsid w:val="00886282"/>
    <w:rsid w:val="00950721"/>
    <w:rsid w:val="00A920E5"/>
    <w:rsid w:val="00B65FE5"/>
    <w:rsid w:val="00BE48BA"/>
    <w:rsid w:val="00C4323F"/>
    <w:rsid w:val="02697EB9"/>
    <w:rsid w:val="036215D9"/>
    <w:rsid w:val="03A66872"/>
    <w:rsid w:val="054A1FD7"/>
    <w:rsid w:val="06817ED4"/>
    <w:rsid w:val="072A6098"/>
    <w:rsid w:val="09443905"/>
    <w:rsid w:val="09652EA6"/>
    <w:rsid w:val="097806EC"/>
    <w:rsid w:val="0A39455D"/>
    <w:rsid w:val="0A83110A"/>
    <w:rsid w:val="0BF71DAF"/>
    <w:rsid w:val="0E6F3E7F"/>
    <w:rsid w:val="0E963B01"/>
    <w:rsid w:val="0EB14B8B"/>
    <w:rsid w:val="0F5F3EF3"/>
    <w:rsid w:val="0FC628E3"/>
    <w:rsid w:val="16357691"/>
    <w:rsid w:val="17255FA0"/>
    <w:rsid w:val="187A1D9E"/>
    <w:rsid w:val="18D47700"/>
    <w:rsid w:val="1B80125D"/>
    <w:rsid w:val="1C780449"/>
    <w:rsid w:val="1DCA7DCC"/>
    <w:rsid w:val="1E4470D6"/>
    <w:rsid w:val="1EA67C63"/>
    <w:rsid w:val="22603DB2"/>
    <w:rsid w:val="244D7C36"/>
    <w:rsid w:val="252512E3"/>
    <w:rsid w:val="26615CE4"/>
    <w:rsid w:val="28506677"/>
    <w:rsid w:val="28C559FA"/>
    <w:rsid w:val="2BA93402"/>
    <w:rsid w:val="308C08EA"/>
    <w:rsid w:val="31605B7D"/>
    <w:rsid w:val="31A11CF2"/>
    <w:rsid w:val="328E5968"/>
    <w:rsid w:val="334B1461"/>
    <w:rsid w:val="337C7886"/>
    <w:rsid w:val="33C06DA7"/>
    <w:rsid w:val="35343D53"/>
    <w:rsid w:val="35A8372D"/>
    <w:rsid w:val="36CE11FA"/>
    <w:rsid w:val="36E947F4"/>
    <w:rsid w:val="37873738"/>
    <w:rsid w:val="37D4446F"/>
    <w:rsid w:val="37D50947"/>
    <w:rsid w:val="3D45186C"/>
    <w:rsid w:val="3D47111A"/>
    <w:rsid w:val="3F2A5A1C"/>
    <w:rsid w:val="400E2C48"/>
    <w:rsid w:val="40796571"/>
    <w:rsid w:val="41597EF3"/>
    <w:rsid w:val="41E11F8B"/>
    <w:rsid w:val="42B6411D"/>
    <w:rsid w:val="44B813D4"/>
    <w:rsid w:val="44BA4377"/>
    <w:rsid w:val="453F5652"/>
    <w:rsid w:val="45AD2F03"/>
    <w:rsid w:val="461A1F14"/>
    <w:rsid w:val="47870255"/>
    <w:rsid w:val="47D1464D"/>
    <w:rsid w:val="486F6E63"/>
    <w:rsid w:val="4BBA0128"/>
    <w:rsid w:val="4CE92A73"/>
    <w:rsid w:val="515F3355"/>
    <w:rsid w:val="53116892"/>
    <w:rsid w:val="53B05F0E"/>
    <w:rsid w:val="53FF492A"/>
    <w:rsid w:val="54ED0BB5"/>
    <w:rsid w:val="55D20A70"/>
    <w:rsid w:val="56CB4078"/>
    <w:rsid w:val="5A740E46"/>
    <w:rsid w:val="5C3D2B7A"/>
    <w:rsid w:val="5C6A5252"/>
    <w:rsid w:val="5D513D89"/>
    <w:rsid w:val="5DE14E6B"/>
    <w:rsid w:val="5E443FAD"/>
    <w:rsid w:val="5F257CF2"/>
    <w:rsid w:val="607F58F2"/>
    <w:rsid w:val="61B53677"/>
    <w:rsid w:val="64660752"/>
    <w:rsid w:val="65A10510"/>
    <w:rsid w:val="681C5653"/>
    <w:rsid w:val="68CB0E27"/>
    <w:rsid w:val="691E4FB6"/>
    <w:rsid w:val="69474297"/>
    <w:rsid w:val="6BE04BE9"/>
    <w:rsid w:val="6CE42B21"/>
    <w:rsid w:val="710B095A"/>
    <w:rsid w:val="71163E2D"/>
    <w:rsid w:val="733D5B06"/>
    <w:rsid w:val="767B7933"/>
    <w:rsid w:val="77195BBE"/>
    <w:rsid w:val="79B5736D"/>
    <w:rsid w:val="7A3331E6"/>
    <w:rsid w:val="7DC23B0F"/>
    <w:rsid w:val="7E543940"/>
    <w:rsid w:val="7EEE34B9"/>
    <w:rsid w:val="7F114EDE"/>
    <w:rsid w:val="7FB0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Lines="50" w:afterLines="50" w:line="360" w:lineRule="auto"/>
      <w:jc w:val="left"/>
      <w:outlineLvl w:val="1"/>
    </w:pPr>
    <w:rPr>
      <w:rFonts w:ascii="Times New Roman" w:hAnsi="Times New Roman" w:eastAsia="黑体"/>
      <w:color w:val="000000"/>
      <w:kern w:val="0"/>
      <w:sz w:val="28"/>
      <w:szCs w:val="30"/>
      <w:lang w:val="zh-CN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4216</Words>
  <Characters>4496</Characters>
  <Lines>26</Lines>
  <Paragraphs>7</Paragraphs>
  <TotalTime>24</TotalTime>
  <ScaleCrop>false</ScaleCrop>
  <LinksUpToDate>false</LinksUpToDate>
  <CharactersWithSpaces>4576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2015-09-15T07:33:00Z</dcterms:created>
  <dc:creator>郭亚宁</dc:creator>
  <cp:lastModifiedBy>潇菁儿</cp:lastModifiedBy>
  <cp:lastPrinted>2023-03-07T08:12:00Z</cp:lastPrinted>
  <dcterms:modified xsi:type="dcterms:W3CDTF">2023-10-19T01:05:38Z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84D7C97D504A4C4FBE571DDC205A51FB</vt:lpwstr>
  </property>
</Properties>
</file>